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E403AE" w:rsidRPr="00AF017A">
        <w:rPr>
          <w:rFonts w:cs="Arial"/>
          <w:sz w:val="28"/>
          <w:szCs w:val="28"/>
        </w:rPr>
        <w:t>Fußballtabelle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403AE" w:rsidRPr="00CA4F42" w:rsidTr="00E403AE">
        <w:tc>
          <w:tcPr>
            <w:tcW w:w="2466" w:type="dxa"/>
            <w:vAlign w:val="center"/>
          </w:tcPr>
          <w:p w:rsidR="00E403AE" w:rsidRPr="00FE6928" w:rsidRDefault="00E403AE" w:rsidP="00E73945">
            <w:pPr>
              <w:pStyle w:val="IQB-Merkmal"/>
            </w:pPr>
            <w:r w:rsidRPr="00FE6928">
              <w:t>Leitidee</w:t>
            </w:r>
          </w:p>
        </w:tc>
        <w:tc>
          <w:tcPr>
            <w:tcW w:w="6604" w:type="dxa"/>
          </w:tcPr>
          <w:p w:rsidR="00E403AE" w:rsidRPr="00FE6928" w:rsidRDefault="00E403AE" w:rsidP="00E73945">
            <w:pPr>
              <w:pStyle w:val="IQB-Merkmalswert"/>
            </w:pPr>
            <w:r w:rsidRPr="00FE6928">
              <w:t>1. Zahl</w:t>
            </w:r>
          </w:p>
        </w:tc>
      </w:tr>
      <w:tr w:rsidR="00E403AE" w:rsidRPr="00CA4F42" w:rsidTr="00E403AE">
        <w:tc>
          <w:tcPr>
            <w:tcW w:w="2466" w:type="dxa"/>
            <w:vAlign w:val="center"/>
          </w:tcPr>
          <w:p w:rsidR="00E403AE" w:rsidRPr="00FE6928" w:rsidRDefault="00E403AE" w:rsidP="00E73945">
            <w:pPr>
              <w:pStyle w:val="IQB-Merkmal"/>
            </w:pPr>
            <w:r w:rsidRPr="00FE6928">
              <w:t>Allgemeine Kompetenzen</w:t>
            </w:r>
          </w:p>
        </w:tc>
        <w:tc>
          <w:tcPr>
            <w:tcW w:w="6604" w:type="dxa"/>
          </w:tcPr>
          <w:p w:rsidR="00E403AE" w:rsidRPr="00FE6928" w:rsidRDefault="00E403AE" w:rsidP="00E73945">
            <w:pPr>
              <w:pStyle w:val="IQB-Merkmalswert"/>
            </w:pPr>
            <w:r>
              <w:t>Probleme mathematisch lösen (K2)</w:t>
            </w:r>
          </w:p>
          <w:p w:rsidR="00E403AE" w:rsidRPr="00FE6928" w:rsidRDefault="00E403AE" w:rsidP="00E73945">
            <w:pPr>
              <w:pStyle w:val="IQB-Merkmalswert"/>
            </w:pPr>
            <w:r>
              <w:t>Mathematisch modellieren (K3)</w:t>
            </w:r>
          </w:p>
          <w:p w:rsidR="00E403AE" w:rsidRPr="00FE6928" w:rsidRDefault="00E403AE" w:rsidP="00E73945">
            <w:pPr>
              <w:pStyle w:val="IQB-Merkmalswert"/>
            </w:pPr>
            <w:r>
              <w:t>Mathematisch kommunizieren (K6)</w:t>
            </w:r>
          </w:p>
        </w:tc>
      </w:tr>
      <w:tr w:rsidR="00E403AE" w:rsidRPr="00CA4F42" w:rsidTr="00E403AE">
        <w:tc>
          <w:tcPr>
            <w:tcW w:w="2466" w:type="dxa"/>
            <w:vAlign w:val="center"/>
          </w:tcPr>
          <w:p w:rsidR="00E403AE" w:rsidRPr="00FE6928" w:rsidRDefault="00E403AE" w:rsidP="00E73945">
            <w:pPr>
              <w:pStyle w:val="IQB-Merkmal"/>
            </w:pPr>
            <w:r w:rsidRPr="00FE6928">
              <w:t>Anforderungsbereich</w:t>
            </w:r>
          </w:p>
        </w:tc>
        <w:tc>
          <w:tcPr>
            <w:tcW w:w="6604" w:type="dxa"/>
          </w:tcPr>
          <w:p w:rsidR="00E403AE" w:rsidRPr="00FE6928" w:rsidRDefault="00E403AE" w:rsidP="00E73945">
            <w:pPr>
              <w:pStyle w:val="IQB-Merkmalswert"/>
            </w:pPr>
            <w:r w:rsidRPr="00FE6928">
              <w:t>I</w:t>
            </w:r>
          </w:p>
        </w:tc>
      </w:tr>
      <w:tr w:rsidR="00E403AE" w:rsidRPr="00CA4F42" w:rsidTr="00E403AE">
        <w:tc>
          <w:tcPr>
            <w:tcW w:w="2466" w:type="dxa"/>
            <w:vAlign w:val="center"/>
          </w:tcPr>
          <w:p w:rsidR="00E403AE" w:rsidRPr="00FE6928" w:rsidRDefault="00E403AE" w:rsidP="00E73945">
            <w:pPr>
              <w:pStyle w:val="IQB-Merkmal"/>
            </w:pPr>
            <w:r w:rsidRPr="00FE6928">
              <w:t>Kompetenzstufe</w:t>
            </w:r>
          </w:p>
        </w:tc>
        <w:tc>
          <w:tcPr>
            <w:tcW w:w="6604" w:type="dxa"/>
          </w:tcPr>
          <w:p w:rsidR="00E403AE" w:rsidRPr="00FE6928" w:rsidRDefault="00E403AE" w:rsidP="00E73945">
            <w:pPr>
              <w:pStyle w:val="IQB-Merkmalswert"/>
            </w:pPr>
            <w:r w:rsidRPr="00FE6928">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403AE" w:rsidRPr="00CA4F42" w:rsidTr="00E403AE">
        <w:tc>
          <w:tcPr>
            <w:tcW w:w="2466" w:type="dxa"/>
            <w:vAlign w:val="center"/>
          </w:tcPr>
          <w:p w:rsidR="00E403AE" w:rsidRPr="00FE6928" w:rsidRDefault="00E403AE" w:rsidP="00E73945">
            <w:pPr>
              <w:pStyle w:val="IQB-Merkmal"/>
            </w:pPr>
            <w:r w:rsidRPr="00FE6928">
              <w:t>Leitidee</w:t>
            </w:r>
          </w:p>
        </w:tc>
        <w:tc>
          <w:tcPr>
            <w:tcW w:w="6604" w:type="dxa"/>
          </w:tcPr>
          <w:p w:rsidR="00E403AE" w:rsidRPr="00FE6928" w:rsidRDefault="00E403AE" w:rsidP="00E73945">
            <w:pPr>
              <w:pStyle w:val="IQB-Merkmalswert"/>
            </w:pPr>
            <w:r w:rsidRPr="00FE6928">
              <w:t>1. Zahl</w:t>
            </w:r>
          </w:p>
        </w:tc>
      </w:tr>
      <w:tr w:rsidR="00E403AE" w:rsidRPr="00CA4F42" w:rsidTr="00E403AE">
        <w:tc>
          <w:tcPr>
            <w:tcW w:w="2466" w:type="dxa"/>
            <w:vAlign w:val="center"/>
          </w:tcPr>
          <w:p w:rsidR="00E403AE" w:rsidRPr="00FE6928" w:rsidRDefault="00E403AE" w:rsidP="00E73945">
            <w:pPr>
              <w:pStyle w:val="IQB-Merkmal"/>
            </w:pPr>
            <w:r w:rsidRPr="00FE6928">
              <w:t>Allgemeine Kompetenzen</w:t>
            </w:r>
          </w:p>
        </w:tc>
        <w:tc>
          <w:tcPr>
            <w:tcW w:w="6604" w:type="dxa"/>
          </w:tcPr>
          <w:p w:rsidR="00E403AE" w:rsidRPr="00FE6928" w:rsidRDefault="00E403AE" w:rsidP="00E73945">
            <w:pPr>
              <w:pStyle w:val="IQB-Merkmalswert"/>
            </w:pPr>
            <w:r>
              <w:t>Mathematisch argumentieren (K1)</w:t>
            </w:r>
          </w:p>
          <w:p w:rsidR="00E403AE" w:rsidRPr="00FE6928" w:rsidRDefault="00E403AE" w:rsidP="00E73945">
            <w:pPr>
              <w:pStyle w:val="IQB-Merkmalswert"/>
            </w:pPr>
            <w:r>
              <w:t>Probleme mathematisch lösen (K2)</w:t>
            </w:r>
          </w:p>
          <w:p w:rsidR="00E403AE" w:rsidRPr="00FE6928" w:rsidRDefault="00E403AE" w:rsidP="00E73945">
            <w:pPr>
              <w:pStyle w:val="IQB-Merkmalswert"/>
            </w:pPr>
            <w:r>
              <w:t>Mathematisch modellieren (K3)</w:t>
            </w:r>
          </w:p>
          <w:p w:rsidR="00E403AE" w:rsidRPr="00FE6928" w:rsidRDefault="00E403AE" w:rsidP="00E73945">
            <w:pPr>
              <w:pStyle w:val="IQB-Merkmalswert"/>
            </w:pPr>
            <w:r>
              <w:t>Mathematisch kommunizieren (K6)</w:t>
            </w:r>
          </w:p>
        </w:tc>
      </w:tr>
      <w:tr w:rsidR="00E403AE" w:rsidRPr="00CA4F42" w:rsidTr="00E403AE">
        <w:tc>
          <w:tcPr>
            <w:tcW w:w="2466" w:type="dxa"/>
            <w:vAlign w:val="center"/>
          </w:tcPr>
          <w:p w:rsidR="00E403AE" w:rsidRPr="00FE6928" w:rsidRDefault="00E403AE" w:rsidP="00E73945">
            <w:pPr>
              <w:pStyle w:val="IQB-Merkmal"/>
            </w:pPr>
            <w:r w:rsidRPr="00FE6928">
              <w:t>Anforderungsbereich</w:t>
            </w:r>
          </w:p>
        </w:tc>
        <w:tc>
          <w:tcPr>
            <w:tcW w:w="6604" w:type="dxa"/>
          </w:tcPr>
          <w:p w:rsidR="00E403AE" w:rsidRPr="00FE6928" w:rsidRDefault="00E403AE" w:rsidP="00E73945">
            <w:pPr>
              <w:pStyle w:val="IQB-Merkmalswert"/>
            </w:pPr>
            <w:r w:rsidRPr="00FE6928">
              <w:t>II</w:t>
            </w:r>
          </w:p>
        </w:tc>
      </w:tr>
      <w:tr w:rsidR="00E403AE" w:rsidRPr="00CA4F42" w:rsidTr="00E403AE">
        <w:tc>
          <w:tcPr>
            <w:tcW w:w="2466" w:type="dxa"/>
            <w:vAlign w:val="center"/>
          </w:tcPr>
          <w:p w:rsidR="00E403AE" w:rsidRPr="00FE6928" w:rsidRDefault="00E403AE" w:rsidP="00E73945">
            <w:pPr>
              <w:pStyle w:val="IQB-Merkmal"/>
            </w:pPr>
            <w:r w:rsidRPr="00FE6928">
              <w:t>Kompetenzstufe</w:t>
            </w:r>
          </w:p>
        </w:tc>
        <w:tc>
          <w:tcPr>
            <w:tcW w:w="6604" w:type="dxa"/>
          </w:tcPr>
          <w:p w:rsidR="00E403AE" w:rsidRPr="00FE6928" w:rsidRDefault="00E403AE" w:rsidP="00E73945">
            <w:pPr>
              <w:pStyle w:val="IQB-Merkmalswert"/>
            </w:pPr>
            <w:r w:rsidRPr="00FE6928">
              <w:t>3</w:t>
            </w:r>
          </w:p>
        </w:tc>
      </w:tr>
    </w:tbl>
    <w:p w:rsidR="00E403AE" w:rsidRPr="00694A63" w:rsidRDefault="00E403AE" w:rsidP="00E403AE">
      <w:pPr>
        <w:pStyle w:val="IQB-Teilaufgabentitel"/>
        <w:rPr>
          <w:b/>
        </w:rPr>
      </w:pPr>
      <w:r w:rsidRPr="00694A63">
        <w:rPr>
          <w:b/>
        </w:rPr>
        <w:t>Merkmal</w:t>
      </w:r>
      <w:r>
        <w:rPr>
          <w:b/>
        </w:rPr>
        <w:t>e der Teilaufgabe 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403AE" w:rsidRPr="00CA4F42" w:rsidTr="00E403AE">
        <w:tc>
          <w:tcPr>
            <w:tcW w:w="2466" w:type="dxa"/>
            <w:vAlign w:val="center"/>
          </w:tcPr>
          <w:p w:rsidR="00E403AE" w:rsidRPr="00FE6928" w:rsidRDefault="00E403AE" w:rsidP="00E73945">
            <w:pPr>
              <w:pStyle w:val="IQB-Merkmal"/>
            </w:pPr>
            <w:r w:rsidRPr="00FE6928">
              <w:t>Leitidee</w:t>
            </w:r>
          </w:p>
        </w:tc>
        <w:tc>
          <w:tcPr>
            <w:tcW w:w="6604" w:type="dxa"/>
          </w:tcPr>
          <w:p w:rsidR="00E403AE" w:rsidRPr="00FE6928" w:rsidRDefault="00E403AE" w:rsidP="00E73945">
            <w:pPr>
              <w:pStyle w:val="IQB-Merkmalswert"/>
            </w:pPr>
            <w:r w:rsidRPr="00FE6928">
              <w:t>1. Zahl</w:t>
            </w:r>
          </w:p>
        </w:tc>
      </w:tr>
      <w:tr w:rsidR="00E403AE" w:rsidRPr="00CA4F42" w:rsidTr="00E403AE">
        <w:tc>
          <w:tcPr>
            <w:tcW w:w="2466" w:type="dxa"/>
            <w:vAlign w:val="center"/>
          </w:tcPr>
          <w:p w:rsidR="00E403AE" w:rsidRPr="00FE6928" w:rsidRDefault="00E403AE" w:rsidP="00E73945">
            <w:pPr>
              <w:pStyle w:val="IQB-Merkmal"/>
            </w:pPr>
            <w:r w:rsidRPr="00FE6928">
              <w:t>Allgemeine Kompetenzen</w:t>
            </w:r>
          </w:p>
        </w:tc>
        <w:tc>
          <w:tcPr>
            <w:tcW w:w="6604" w:type="dxa"/>
          </w:tcPr>
          <w:p w:rsidR="00E403AE" w:rsidRPr="00FE6928" w:rsidRDefault="00E403AE" w:rsidP="00E73945">
            <w:pPr>
              <w:pStyle w:val="IQB-Merkmalswert"/>
            </w:pPr>
            <w:r>
              <w:t>Probleme mathematisch lösen (K2)</w:t>
            </w:r>
          </w:p>
          <w:p w:rsidR="00E403AE" w:rsidRPr="00FE6928" w:rsidRDefault="00E403AE" w:rsidP="00E73945">
            <w:pPr>
              <w:pStyle w:val="IQB-Merkmalswert"/>
            </w:pPr>
            <w:r>
              <w:t>Mathematisch modellieren (K3)</w:t>
            </w:r>
          </w:p>
          <w:p w:rsidR="00E403AE" w:rsidRPr="00FE6928" w:rsidRDefault="00E403AE" w:rsidP="00E73945">
            <w:pPr>
              <w:pStyle w:val="IQB-Merkmalswert"/>
            </w:pPr>
            <w:r>
              <w:t>Mathematisch kommunizieren (K6)</w:t>
            </w:r>
          </w:p>
        </w:tc>
      </w:tr>
      <w:tr w:rsidR="00E403AE" w:rsidRPr="00CA4F42" w:rsidTr="00E403AE">
        <w:tc>
          <w:tcPr>
            <w:tcW w:w="2466" w:type="dxa"/>
            <w:vAlign w:val="center"/>
          </w:tcPr>
          <w:p w:rsidR="00E403AE" w:rsidRPr="00FE6928" w:rsidRDefault="00E403AE" w:rsidP="00E73945">
            <w:pPr>
              <w:pStyle w:val="IQB-Merkmal"/>
            </w:pPr>
            <w:r w:rsidRPr="00FE6928">
              <w:t>Anforderungsbereich</w:t>
            </w:r>
          </w:p>
        </w:tc>
        <w:tc>
          <w:tcPr>
            <w:tcW w:w="6604" w:type="dxa"/>
          </w:tcPr>
          <w:p w:rsidR="00E403AE" w:rsidRPr="00FE6928" w:rsidRDefault="00E403AE" w:rsidP="00E73945">
            <w:pPr>
              <w:pStyle w:val="IQB-Merkmalswert"/>
            </w:pPr>
            <w:r w:rsidRPr="00FE6928">
              <w:t>II</w:t>
            </w:r>
          </w:p>
        </w:tc>
      </w:tr>
      <w:tr w:rsidR="00E403AE" w:rsidRPr="00CA4F42" w:rsidTr="00E403AE">
        <w:tc>
          <w:tcPr>
            <w:tcW w:w="2466" w:type="dxa"/>
            <w:vAlign w:val="center"/>
          </w:tcPr>
          <w:p w:rsidR="00E403AE" w:rsidRPr="00FE6928" w:rsidRDefault="00E403AE" w:rsidP="00E73945">
            <w:pPr>
              <w:pStyle w:val="IQB-Merkmal"/>
            </w:pPr>
            <w:r w:rsidRPr="00FE6928">
              <w:t>Kompetenzstufe</w:t>
            </w:r>
          </w:p>
        </w:tc>
        <w:tc>
          <w:tcPr>
            <w:tcW w:w="6604" w:type="dxa"/>
          </w:tcPr>
          <w:p w:rsidR="00E403AE" w:rsidRPr="00FE6928" w:rsidRDefault="00E403AE" w:rsidP="00E73945">
            <w:pPr>
              <w:pStyle w:val="IQB-Merkmalswert"/>
            </w:pPr>
            <w:r w:rsidRPr="00FE6928">
              <w:t>5</w:t>
            </w:r>
          </w:p>
        </w:tc>
      </w:tr>
    </w:tbl>
    <w:p w:rsidR="00694A63" w:rsidRPr="00694A63" w:rsidRDefault="00694A63" w:rsidP="00694A63">
      <w:pPr>
        <w:pStyle w:val="IQB-Teilaufgabentitel"/>
        <w:rPr>
          <w:b/>
        </w:rPr>
      </w:pPr>
      <w:r w:rsidRPr="00694A63">
        <w:rPr>
          <w:b/>
        </w:rPr>
        <w:t>Aufgabenbezogener Kommentar</w:t>
      </w:r>
    </w:p>
    <w:p w:rsidR="00E403AE" w:rsidRPr="00CA4F42" w:rsidRDefault="00E403AE" w:rsidP="00E403AE">
      <w:pPr>
        <w:pStyle w:val="IQB-AnweisungenText"/>
        <w:spacing w:before="0"/>
        <w:rPr>
          <w:rFonts w:ascii="Arial" w:hAnsi="Arial"/>
          <w:sz w:val="22"/>
          <w:szCs w:val="22"/>
        </w:rPr>
      </w:pPr>
      <w:r w:rsidRPr="00CA4F42">
        <w:rPr>
          <w:rFonts w:ascii="Arial" w:hAnsi="Arial"/>
          <w:sz w:val="22"/>
          <w:szCs w:val="22"/>
        </w:rPr>
        <w:t xml:space="preserve">Diese Aufgabe wird der </w:t>
      </w:r>
      <w:r w:rsidRPr="00AC6D58">
        <w:rPr>
          <w:rFonts w:ascii="Arial" w:hAnsi="Arial"/>
          <w:sz w:val="22"/>
          <w:szCs w:val="22"/>
        </w:rPr>
        <w:t>Leitidee</w:t>
      </w:r>
      <w:r w:rsidRPr="00934AE1">
        <w:rPr>
          <w:rFonts w:ascii="Arial" w:hAnsi="Arial"/>
          <w:i/>
          <w:sz w:val="22"/>
          <w:szCs w:val="22"/>
        </w:rPr>
        <w:t xml:space="preserve"> Zahl</w:t>
      </w:r>
      <w:r w:rsidRPr="00CA4F42">
        <w:rPr>
          <w:rFonts w:ascii="Arial" w:hAnsi="Arial"/>
          <w:sz w:val="22"/>
          <w:szCs w:val="22"/>
        </w:rPr>
        <w:t xml:space="preserve"> (L1) zugeordnet, da in konkreten Situationen kombinatorische Überlegungen angestellt werden (siehe hierzu auch die allgemeinen Erläuterungen zur </w:t>
      </w:r>
      <w:r w:rsidRPr="00AC3174">
        <w:rPr>
          <w:rFonts w:ascii="Arial" w:hAnsi="Arial"/>
          <w:sz w:val="22"/>
          <w:szCs w:val="22"/>
        </w:rPr>
        <w:t>Leitidee</w:t>
      </w:r>
      <w:r w:rsidRPr="00934AE1">
        <w:rPr>
          <w:rFonts w:ascii="Arial" w:hAnsi="Arial"/>
          <w:i/>
          <w:sz w:val="22"/>
          <w:szCs w:val="22"/>
        </w:rPr>
        <w:t xml:space="preserve"> Zahl</w:t>
      </w:r>
      <w:r>
        <w:rPr>
          <w:rFonts w:ascii="Arial" w:hAnsi="Arial"/>
          <w:i/>
          <w:sz w:val="22"/>
          <w:szCs w:val="22"/>
        </w:rPr>
        <w:t xml:space="preserve"> </w:t>
      </w:r>
      <w:r w:rsidRPr="00D412D8">
        <w:rPr>
          <w:rFonts w:ascii="Arial" w:hAnsi="Arial"/>
          <w:sz w:val="22"/>
          <w:szCs w:val="22"/>
        </w:rPr>
        <w:t>in Modul B</w:t>
      </w:r>
      <w:r w:rsidRPr="00CA4F42">
        <w:rPr>
          <w:rFonts w:ascii="Arial" w:hAnsi="Arial"/>
          <w:sz w:val="22"/>
          <w:szCs w:val="22"/>
        </w:rPr>
        <w:t>).</w:t>
      </w:r>
    </w:p>
    <w:p w:rsidR="00E403AE" w:rsidRPr="00CA4F42" w:rsidRDefault="00E403AE" w:rsidP="00E403AE">
      <w:pPr>
        <w:pStyle w:val="IQB-AnweisungenText"/>
        <w:rPr>
          <w:rFonts w:ascii="Arial" w:hAnsi="Arial"/>
          <w:sz w:val="22"/>
          <w:szCs w:val="22"/>
        </w:rPr>
      </w:pPr>
      <w:r w:rsidRPr="00CA4F42">
        <w:rPr>
          <w:rFonts w:ascii="Arial" w:hAnsi="Arial"/>
          <w:sz w:val="22"/>
          <w:szCs w:val="22"/>
        </w:rPr>
        <w:t>Zur Bearbeitung aller drei Teilaufgaben ist der Eingangstext jeweils interpretierend zu lesen. In Teilaufgabe 1 werden dem Text zunächst die relevanten Informationen über die Anzahl der Spiele, die vom betreffenden Spielausgang abhängige Punktzahl sowie der Hinweis auf die erforderliche Addition aller erzielten Punkte entnommen (K6). Anschließend ist eine elementare Strategie zu entwickeln, die sicherstellt, dass alle möglichen Fälle von Spielausgängen bei zwei Spielen erfasst werden (K2). Zur Lösung aller Teilaufgaben ist eine Übersetzung zwischen Realität und Mathematik notwendig. Daher erfordern alle Teilaufgaben Modellierungskompetenzen (K3). Schließlich sind die bei allen denkbaren Kombinationen von Spielausgängen erreichbaren Punktzahlen zu addieren und abschließend aufzulisten (K6).</w:t>
      </w:r>
    </w:p>
    <w:p w:rsidR="00E403AE" w:rsidRPr="00431031" w:rsidRDefault="00E403AE" w:rsidP="00E403AE">
      <w:pPr>
        <w:pStyle w:val="IQB-AnweisungenText"/>
        <w:rPr>
          <w:rFonts w:ascii="Arial" w:hAnsi="Arial"/>
          <w:sz w:val="22"/>
          <w:szCs w:val="22"/>
        </w:rPr>
      </w:pPr>
      <w:r w:rsidRPr="00CA4F42">
        <w:rPr>
          <w:rFonts w:ascii="Arial" w:hAnsi="Arial"/>
          <w:sz w:val="22"/>
          <w:szCs w:val="22"/>
        </w:rPr>
        <w:t>Zur Bearbeitung der Teilaufgaben 2 und 3 sind dem Eingangs- sowie dem Aufgabentext zunächst ebenfalls die relevanten Informationen zu</w:t>
      </w:r>
      <w:r>
        <w:rPr>
          <w:rFonts w:ascii="Arial" w:hAnsi="Arial"/>
          <w:sz w:val="22"/>
          <w:szCs w:val="22"/>
        </w:rPr>
        <w:t xml:space="preserve"> entnehmen (K6). Die gestellten </w:t>
      </w:r>
      <w:r>
        <w:rPr>
          <w:rFonts w:ascii="Arial" w:hAnsi="Arial"/>
          <w:sz w:val="22"/>
          <w:szCs w:val="22"/>
        </w:rPr>
        <w:br/>
      </w:r>
      <w:r w:rsidRPr="00CA4F42">
        <w:rPr>
          <w:rFonts w:ascii="Arial" w:hAnsi="Arial"/>
          <w:sz w:val="22"/>
          <w:szCs w:val="22"/>
        </w:rPr>
        <w:t>(Umkehr</w:t>
      </w:r>
      <w:r>
        <w:rPr>
          <w:rFonts w:ascii="Arial" w:hAnsi="Arial"/>
          <w:sz w:val="22"/>
          <w:szCs w:val="22"/>
        </w:rPr>
        <w:t>-</w:t>
      </w:r>
      <w:r w:rsidRPr="00CA4F42">
        <w:rPr>
          <w:rFonts w:ascii="Arial" w:hAnsi="Arial"/>
          <w:sz w:val="22"/>
          <w:szCs w:val="22"/>
        </w:rPr>
        <w:t>)Fragen können durch systematisches Variieren der beiden gegebenen Bedingungen (Anzahl der Spiele bzw. Anzahl der insgesamt erzielten Punkte) gelöst werden (K2). Dabei sind nur einfache Rechnungen auszuführen. Bei Teilaufgabe 2 ist zusätzlich mit Bezug auf die vorangegangenen Variationen explizit zu begründen, dass eine Mannschaft in drei Spielen nicht acht Punkte erzielt haben kann (K1).</w:t>
      </w:r>
    </w:p>
    <w:p w:rsidR="00E403AE" w:rsidRPr="00CA4F42" w:rsidRDefault="00E403AE" w:rsidP="00E403AE">
      <w:pPr>
        <w:pStyle w:val="IQB-AnweisungenText"/>
        <w:rPr>
          <w:rFonts w:ascii="Arial" w:hAnsi="Arial"/>
          <w:sz w:val="22"/>
          <w:szCs w:val="22"/>
        </w:rPr>
      </w:pPr>
      <w:r w:rsidRPr="00CA4F42">
        <w:rPr>
          <w:rFonts w:ascii="Arial" w:hAnsi="Arial"/>
          <w:sz w:val="22"/>
          <w:szCs w:val="22"/>
        </w:rPr>
        <w:lastRenderedPageBreak/>
        <w:t xml:space="preserve">In Teilaufgabe 1 wird ein einfaches Problem mit bekannten – auch experimentellen – Verfahren gelöst, so dass diese dem Anforderungsbereich I zugeordnet wird. Die Teilaufgaben 2 und 3 können dem Anforderungsbereich II zugeordnet werden, da das Lösen des gestellten Problems die Anwendung mehrschrittiger heuristischer Strategien erforderlich macht. </w:t>
      </w:r>
    </w:p>
    <w:p w:rsidR="00694A63" w:rsidRPr="00694A63" w:rsidRDefault="00694A63" w:rsidP="00694A63">
      <w:pPr>
        <w:pStyle w:val="IQB-Teilaufgabentitel"/>
        <w:rPr>
          <w:b/>
        </w:rPr>
      </w:pPr>
      <w:r w:rsidRPr="00694A63">
        <w:rPr>
          <w:b/>
        </w:rPr>
        <w:t>Anregungen für den Unterricht</w:t>
      </w:r>
    </w:p>
    <w:p w:rsidR="00E403AE" w:rsidRPr="00CA4F42" w:rsidRDefault="00E403AE" w:rsidP="00E403AE">
      <w:pPr>
        <w:pStyle w:val="IQB-AnweisungenText"/>
        <w:spacing w:before="0"/>
        <w:rPr>
          <w:rFonts w:ascii="Arial" w:hAnsi="Arial"/>
          <w:sz w:val="22"/>
          <w:szCs w:val="22"/>
        </w:rPr>
      </w:pPr>
      <w:r w:rsidRPr="00CA4F42">
        <w:rPr>
          <w:rFonts w:ascii="Arial" w:hAnsi="Arial"/>
          <w:sz w:val="22"/>
          <w:szCs w:val="22"/>
        </w:rPr>
        <w:t xml:space="preserve">Alle Teilaufgaben der Aufgabe „Fußballtabelle“ zielen auf die allgemeine Kompetenz </w:t>
      </w:r>
      <w:r w:rsidRPr="00E62BFF">
        <w:rPr>
          <w:rFonts w:ascii="Arial" w:hAnsi="Arial"/>
          <w:i/>
          <w:sz w:val="22"/>
          <w:szCs w:val="22"/>
        </w:rPr>
        <w:t>Probleme mathematisch lösen</w:t>
      </w:r>
      <w:r w:rsidRPr="00CA4F42">
        <w:rPr>
          <w:rFonts w:ascii="Arial" w:hAnsi="Arial"/>
          <w:sz w:val="22"/>
          <w:szCs w:val="22"/>
        </w:rPr>
        <w:t xml:space="preserve"> (K2) ab. Diese Kompetenz kommt immer dann zum Tragen, wenn </w:t>
      </w:r>
      <w:r>
        <w:rPr>
          <w:rFonts w:ascii="Arial" w:hAnsi="Arial"/>
          <w:sz w:val="22"/>
          <w:szCs w:val="22"/>
        </w:rPr>
        <w:t xml:space="preserve">Aufgaben gestellt </w:t>
      </w:r>
      <w:r w:rsidRPr="00CA4F42">
        <w:rPr>
          <w:rFonts w:ascii="Arial" w:hAnsi="Arial"/>
          <w:sz w:val="22"/>
          <w:szCs w:val="22"/>
        </w:rPr>
        <w:t>werden, für deren Be</w:t>
      </w:r>
      <w:r>
        <w:rPr>
          <w:rFonts w:ascii="Arial" w:hAnsi="Arial"/>
          <w:sz w:val="22"/>
          <w:szCs w:val="22"/>
        </w:rPr>
        <w:t>arbeitung</w:t>
      </w:r>
      <w:r w:rsidRPr="00CA4F42">
        <w:rPr>
          <w:rFonts w:ascii="Arial" w:hAnsi="Arial"/>
          <w:sz w:val="22"/>
          <w:szCs w:val="22"/>
        </w:rPr>
        <w:t xml:space="preserve"> Schülerinnen und Schüler nicht auf ihnen vertraute Verfahren zurückgreifen können. Daher ist </w:t>
      </w:r>
      <w:r>
        <w:rPr>
          <w:rFonts w:ascii="Arial" w:hAnsi="Arial"/>
          <w:sz w:val="22"/>
          <w:szCs w:val="22"/>
        </w:rPr>
        <w:t>mit</w:t>
      </w:r>
      <w:r w:rsidRPr="00CA4F42">
        <w:rPr>
          <w:rFonts w:ascii="Arial" w:hAnsi="Arial"/>
          <w:sz w:val="22"/>
          <w:szCs w:val="22"/>
        </w:rPr>
        <w:t xml:space="preserve"> </w:t>
      </w:r>
      <w:r>
        <w:rPr>
          <w:rFonts w:ascii="Arial" w:hAnsi="Arial"/>
          <w:sz w:val="22"/>
          <w:szCs w:val="22"/>
        </w:rPr>
        <w:t>Verfahren zu rechnen, die nicht zielführend sind.</w:t>
      </w:r>
      <w:r w:rsidRPr="00CA4F42">
        <w:rPr>
          <w:rFonts w:ascii="Arial" w:hAnsi="Arial"/>
          <w:sz w:val="22"/>
          <w:szCs w:val="22"/>
        </w:rPr>
        <w:t xml:space="preserve"> Im Folgenden wird dies für die einzelnen Teilaufgaben verdeutlicht.</w:t>
      </w:r>
    </w:p>
    <w:p w:rsidR="00E403AE" w:rsidRDefault="00E403AE" w:rsidP="00E403AE">
      <w:pPr>
        <w:pStyle w:val="IQB-AnweisungenText"/>
        <w:spacing w:after="120"/>
        <w:rPr>
          <w:rFonts w:ascii="Arial" w:hAnsi="Arial"/>
          <w:sz w:val="22"/>
          <w:szCs w:val="22"/>
        </w:rPr>
      </w:pPr>
      <w:r w:rsidRPr="00CA4F42">
        <w:rPr>
          <w:rFonts w:ascii="Arial" w:hAnsi="Arial"/>
          <w:b/>
          <w:sz w:val="22"/>
          <w:szCs w:val="22"/>
        </w:rPr>
        <w:t>Zu Teilaufgabe 1:</w:t>
      </w:r>
      <w:r w:rsidRPr="00CA4F42">
        <w:rPr>
          <w:rFonts w:ascii="Arial" w:hAnsi="Arial"/>
          <w:sz w:val="22"/>
          <w:szCs w:val="22"/>
        </w:rPr>
        <w:t xml:space="preserve"> Alle Zahlen 0, 1, 2, 3, 4, 5 und 6 werden unkritisch als mögliche Spielstände aufgelistet, wie die nachstehende Schülerlösung zeigt </w:t>
      </w:r>
      <w:r w:rsidRPr="00ED3B56">
        <w:rPr>
          <w:rFonts w:ascii="Arial" w:hAnsi="Arial"/>
          <w:sz w:val="22"/>
          <w:szCs w:val="22"/>
        </w:rPr>
        <w:t>(siehe Abbildung 1).</w:t>
      </w:r>
      <w:r w:rsidRPr="00CA4F42">
        <w:rPr>
          <w:rFonts w:ascii="Arial" w:hAnsi="Arial"/>
          <w:sz w:val="22"/>
          <w:szCs w:val="22"/>
        </w:rPr>
        <w:t xml:space="preserve"> Dabei wird im Kontext außer Acht gelassen, dass eine Mannschaft nach zwei Spielen nicht fünf Punkte haben kann. Im Unterricht könnte die Strategie des systematischen Variierens thematisiert werden, um solche Fehler zu vermeiden.</w:t>
      </w:r>
    </w:p>
    <w:p w:rsidR="00E403AE" w:rsidRPr="00CA4F42" w:rsidRDefault="00E403AE" w:rsidP="00E403AE">
      <w:pPr>
        <w:pStyle w:val="IQB-AnweisungenText"/>
        <w:spacing w:after="120"/>
        <w:rPr>
          <w:noProof/>
          <w:sz w:val="22"/>
          <w:szCs w:val="22"/>
        </w:rPr>
      </w:pPr>
      <w:r w:rsidRPr="00CA4F42">
        <w:rPr>
          <w:noProof/>
          <w:sz w:val="22"/>
          <w:szCs w:val="22"/>
        </w:rPr>
        <w:drawing>
          <wp:inline distT="0" distB="0" distL="0" distR="0">
            <wp:extent cx="3204845" cy="969010"/>
            <wp:effectExtent l="19050" t="19050" r="14605" b="21590"/>
            <wp:docPr id="2" name="Grafik 2" descr="TH1-7__1103102031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H1-7__11031020310101"/>
                    <pic:cNvPicPr>
                      <a:picLocks noChangeAspect="1" noChangeArrowheads="1"/>
                    </pic:cNvPicPr>
                  </pic:nvPicPr>
                  <pic:blipFill>
                    <a:blip r:embed="rId8" cstate="print">
                      <a:extLst>
                        <a:ext uri="{28A0092B-C50C-407E-A947-70E740481C1C}">
                          <a14:useLocalDpi xmlns:a14="http://schemas.microsoft.com/office/drawing/2010/main" val="0"/>
                        </a:ext>
                      </a:extLst>
                    </a:blip>
                    <a:srcRect l="7162" t="65172" r="24455" b="20221"/>
                    <a:stretch>
                      <a:fillRect/>
                    </a:stretch>
                  </pic:blipFill>
                  <pic:spPr bwMode="auto">
                    <a:xfrm>
                      <a:off x="0" y="0"/>
                      <a:ext cx="3204845" cy="969010"/>
                    </a:xfrm>
                    <a:prstGeom prst="rect">
                      <a:avLst/>
                    </a:prstGeom>
                    <a:noFill/>
                    <a:ln w="6350" cmpd="sng">
                      <a:solidFill>
                        <a:srgbClr val="000000"/>
                      </a:solidFill>
                      <a:miter lim="800000"/>
                      <a:headEnd/>
                      <a:tailEnd/>
                    </a:ln>
                    <a:effectLst/>
                  </pic:spPr>
                </pic:pic>
              </a:graphicData>
            </a:graphic>
          </wp:inline>
        </w:drawing>
      </w:r>
    </w:p>
    <w:p w:rsidR="00E403AE" w:rsidRPr="00AF017A" w:rsidRDefault="00E403AE" w:rsidP="00E403AE">
      <w:pPr>
        <w:spacing w:before="80" w:after="120"/>
        <w:jc w:val="both"/>
        <w:rPr>
          <w:rFonts w:cs="Arial"/>
          <w:sz w:val="20"/>
          <w:szCs w:val="20"/>
        </w:rPr>
      </w:pPr>
      <w:r w:rsidRPr="00AF017A">
        <w:rPr>
          <w:rFonts w:cs="Arial"/>
          <w:sz w:val="20"/>
          <w:szCs w:val="20"/>
        </w:rPr>
        <w:t>Abbildung 1: Schülerlösung</w:t>
      </w:r>
    </w:p>
    <w:p w:rsidR="00E403AE" w:rsidRPr="00CA4F42" w:rsidRDefault="00E403AE" w:rsidP="00E403AE">
      <w:pPr>
        <w:pStyle w:val="IQB-AnweisungenText"/>
        <w:rPr>
          <w:rFonts w:ascii="Arial" w:hAnsi="Arial"/>
          <w:sz w:val="22"/>
          <w:szCs w:val="22"/>
        </w:rPr>
      </w:pPr>
      <w:r w:rsidRPr="00CA4F42">
        <w:rPr>
          <w:rFonts w:ascii="Arial" w:hAnsi="Arial"/>
          <w:b/>
          <w:sz w:val="22"/>
          <w:szCs w:val="22"/>
        </w:rPr>
        <w:t>Zu Teilaufgabe 2:</w:t>
      </w:r>
      <w:r w:rsidRPr="00CA4F42">
        <w:rPr>
          <w:rFonts w:ascii="Arial" w:hAnsi="Arial"/>
          <w:sz w:val="22"/>
          <w:szCs w:val="22"/>
        </w:rPr>
        <w:t xml:space="preserve"> Nur gleichartige Spielausgänge,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zwei Siege, werden berücksichtigt, und nicht alle Kombinationen werden - zumindest gedanklich - durch systematisches Variieren ermittelt.</w:t>
      </w:r>
    </w:p>
    <w:p w:rsidR="00E403AE" w:rsidRPr="00CA4F42" w:rsidRDefault="00E403AE" w:rsidP="00E403AE">
      <w:pPr>
        <w:pStyle w:val="IQB-AnweisungenText"/>
        <w:spacing w:after="120"/>
        <w:rPr>
          <w:rFonts w:ascii="Arial" w:hAnsi="Arial"/>
          <w:sz w:val="22"/>
          <w:szCs w:val="22"/>
        </w:rPr>
      </w:pPr>
      <w:r w:rsidRPr="00CA4F42">
        <w:rPr>
          <w:rFonts w:ascii="Arial" w:hAnsi="Arial"/>
          <w:b/>
          <w:sz w:val="22"/>
          <w:szCs w:val="22"/>
        </w:rPr>
        <w:t>Zu Teilaufgabe 3:</w:t>
      </w:r>
      <w:r w:rsidRPr="00CA4F42">
        <w:rPr>
          <w:rFonts w:ascii="Arial" w:hAnsi="Arial"/>
          <w:sz w:val="22"/>
          <w:szCs w:val="22"/>
        </w:rPr>
        <w:t xml:space="preserve"> Es wird </w:t>
      </w:r>
      <w:r>
        <w:rPr>
          <w:rFonts w:ascii="Arial" w:hAnsi="Arial"/>
          <w:sz w:val="22"/>
          <w:szCs w:val="22"/>
        </w:rPr>
        <w:t>nicht be</w:t>
      </w:r>
      <w:r w:rsidRPr="00CA4F42">
        <w:rPr>
          <w:rFonts w:ascii="Arial" w:hAnsi="Arial"/>
          <w:sz w:val="22"/>
          <w:szCs w:val="22"/>
        </w:rPr>
        <w:t xml:space="preserve">achtet, dass alle Möglichkeiten anzugeben sind. Stattdessen wird wie in der folgenden Schülerlösung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nur ermittelt, dass acht Siege bei 26 Punkten möglich sind </w:t>
      </w:r>
      <w:r w:rsidRPr="00ED3B56">
        <w:rPr>
          <w:rFonts w:ascii="Arial" w:hAnsi="Arial"/>
          <w:sz w:val="22"/>
          <w:szCs w:val="22"/>
        </w:rPr>
        <w:t>(siehe Abbildung 2)</w:t>
      </w:r>
      <w:r w:rsidRPr="00CA4F42">
        <w:rPr>
          <w:rFonts w:ascii="Arial" w:hAnsi="Arial"/>
          <w:sz w:val="22"/>
          <w:szCs w:val="22"/>
        </w:rPr>
        <w:t>.</w:t>
      </w:r>
    </w:p>
    <w:p w:rsidR="00E403AE" w:rsidRPr="00CA4F42" w:rsidRDefault="00E403AE" w:rsidP="00E403AE">
      <w:pPr>
        <w:rPr>
          <w:rFonts w:cs="Arial"/>
          <w:noProof/>
          <w:sz w:val="22"/>
          <w:szCs w:val="22"/>
        </w:rPr>
      </w:pPr>
      <w:r w:rsidRPr="00CA4F42">
        <w:rPr>
          <w:rFonts w:cs="Arial"/>
          <w:noProof/>
          <w:sz w:val="22"/>
          <w:szCs w:val="22"/>
        </w:rPr>
        <w:drawing>
          <wp:inline distT="0" distB="0" distL="0" distR="0">
            <wp:extent cx="3947160" cy="597535"/>
            <wp:effectExtent l="19050" t="19050" r="15240" b="12065"/>
            <wp:docPr id="1" name="Grafik 1" descr="TH1-8__1178102091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H1-8__11781020910103"/>
                    <pic:cNvPicPr>
                      <a:picLocks noChangeAspect="1" noChangeArrowheads="1"/>
                    </pic:cNvPicPr>
                  </pic:nvPicPr>
                  <pic:blipFill>
                    <a:blip r:embed="rId9">
                      <a:extLst>
                        <a:ext uri="{28A0092B-C50C-407E-A947-70E740481C1C}">
                          <a14:useLocalDpi xmlns:a14="http://schemas.microsoft.com/office/drawing/2010/main" val="0"/>
                        </a:ext>
                      </a:extLst>
                    </a:blip>
                    <a:srcRect l="7460" t="41968" r="23888" b="50562"/>
                    <a:stretch>
                      <a:fillRect/>
                    </a:stretch>
                  </pic:blipFill>
                  <pic:spPr bwMode="auto">
                    <a:xfrm>
                      <a:off x="0" y="0"/>
                      <a:ext cx="3947160" cy="597535"/>
                    </a:xfrm>
                    <a:prstGeom prst="rect">
                      <a:avLst/>
                    </a:prstGeom>
                    <a:noFill/>
                    <a:ln w="6350" cmpd="sng">
                      <a:solidFill>
                        <a:srgbClr val="000000"/>
                      </a:solidFill>
                      <a:miter lim="800000"/>
                      <a:headEnd/>
                      <a:tailEnd/>
                    </a:ln>
                    <a:effectLst/>
                  </pic:spPr>
                </pic:pic>
              </a:graphicData>
            </a:graphic>
          </wp:inline>
        </w:drawing>
      </w:r>
    </w:p>
    <w:p w:rsidR="00E403AE" w:rsidRPr="00AF017A" w:rsidRDefault="00E403AE" w:rsidP="00E403AE">
      <w:pPr>
        <w:spacing w:before="80" w:after="120"/>
        <w:jc w:val="both"/>
        <w:rPr>
          <w:rFonts w:cs="Arial"/>
          <w:sz w:val="20"/>
          <w:szCs w:val="20"/>
        </w:rPr>
      </w:pPr>
      <w:r w:rsidRPr="00AF017A">
        <w:rPr>
          <w:rFonts w:cs="Arial"/>
          <w:sz w:val="20"/>
          <w:szCs w:val="20"/>
        </w:rPr>
        <w:t>Abbildung</w:t>
      </w:r>
      <w:r>
        <w:rPr>
          <w:rFonts w:cs="Arial"/>
          <w:sz w:val="20"/>
          <w:szCs w:val="20"/>
        </w:rPr>
        <w:t xml:space="preserve"> 2</w:t>
      </w:r>
      <w:r w:rsidRPr="00AF017A">
        <w:rPr>
          <w:rFonts w:cs="Arial"/>
          <w:sz w:val="20"/>
          <w:szCs w:val="20"/>
        </w:rPr>
        <w:t>: Schülerlösung</w:t>
      </w:r>
    </w:p>
    <w:p w:rsidR="00E403AE" w:rsidRPr="00CA4F42" w:rsidRDefault="00E403AE" w:rsidP="00E403AE">
      <w:pPr>
        <w:pStyle w:val="IQB-AnweisungenText"/>
        <w:rPr>
          <w:rFonts w:ascii="Arial" w:hAnsi="Arial"/>
          <w:sz w:val="22"/>
          <w:szCs w:val="22"/>
        </w:rPr>
      </w:pPr>
      <w:r w:rsidRPr="00CA4F42">
        <w:rPr>
          <w:rFonts w:ascii="Arial" w:hAnsi="Arial"/>
          <w:sz w:val="22"/>
          <w:szCs w:val="22"/>
        </w:rPr>
        <w:t>Für Teilaufgabe 3 bieten sich zwei systematische Herangehensweisen an: Man ermittelt zunächst die minimal mögliche Anzahl an Siegen, um auf 26 Punkte zu kommen. Und ersetzt dann die Unentschieden schrittweise durch Siege, bis 26 Punkte mit Sicherheit überschritten werden (systematisches Durcharbeiten von Klein nach Groß). Oder man wählt den umge</w:t>
      </w:r>
      <w:bookmarkStart w:id="0" w:name="_GoBack"/>
      <w:bookmarkEnd w:id="0"/>
      <w:r w:rsidRPr="00CA4F42">
        <w:rPr>
          <w:rFonts w:ascii="Arial" w:hAnsi="Arial"/>
          <w:sz w:val="22"/>
          <w:szCs w:val="22"/>
        </w:rPr>
        <w:t xml:space="preserve">kehrten Weg und ermittelt zunächst die maximal mögliche Anzahl an Siegen. Und ersetzt dann die Siege schrittweise durch Unentschieden (systematisches Durcharbeiten von Groß nach Klein). Beide Strategien zur Problemlösung können in ähnlichen Situationen angewendet werden. </w:t>
      </w:r>
    </w:p>
    <w:p w:rsidR="00E403AE" w:rsidRPr="00CA4F42" w:rsidRDefault="00E403AE" w:rsidP="00E403AE">
      <w:pPr>
        <w:pStyle w:val="IQB-AnweisungenText"/>
        <w:spacing w:after="120"/>
        <w:rPr>
          <w:rFonts w:ascii="Arial" w:hAnsi="Arial"/>
          <w:sz w:val="22"/>
          <w:szCs w:val="22"/>
        </w:rPr>
      </w:pPr>
      <w:r w:rsidRPr="00CA4F42">
        <w:rPr>
          <w:rFonts w:ascii="Arial" w:hAnsi="Arial"/>
          <w:sz w:val="22"/>
          <w:szCs w:val="22"/>
        </w:rPr>
        <w:t xml:space="preserve">Im Unterricht bietet es sich an, Methoden des Problemlösens anhand von Beispielen sichtbar zu machen, um sie anschließend auf einer Meta-Ebene zu systematisieren. Dazu gehören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w:t>
      </w:r>
      <w:r w:rsidRPr="00CA4F42">
        <w:rPr>
          <w:rFonts w:ascii="Arial" w:hAnsi="Arial"/>
          <w:i/>
          <w:sz w:val="22"/>
          <w:szCs w:val="22"/>
        </w:rPr>
        <w:lastRenderedPageBreak/>
        <w:t>heuristische Hilfsmittel</w:t>
      </w:r>
      <w:r w:rsidRPr="00CA4F42">
        <w:rPr>
          <w:rFonts w:ascii="Arial" w:hAnsi="Arial"/>
          <w:sz w:val="22"/>
          <w:szCs w:val="22"/>
        </w:rPr>
        <w:t xml:space="preserve"> wie Tabellen oder Gleichungen.</w:t>
      </w:r>
      <w:r w:rsidRPr="00CA4F42">
        <w:rPr>
          <w:rStyle w:val="Funotenanker"/>
          <w:rFonts w:ascii="Arial" w:hAnsi="Arial"/>
          <w:sz w:val="22"/>
          <w:szCs w:val="22"/>
        </w:rPr>
        <w:footnoteReference w:id="1"/>
      </w:r>
      <w:r w:rsidRPr="00CA4F42">
        <w:rPr>
          <w:rFonts w:ascii="Arial" w:hAnsi="Arial"/>
          <w:sz w:val="22"/>
          <w:szCs w:val="22"/>
        </w:rPr>
        <w:t xml:space="preserve"> Bezogen auf Teilaufgabe 3 könnten die heuristischen Hilfsmittel wie folgt aussehen: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29"/>
      </w:tblGrid>
      <w:tr w:rsidR="00E403AE" w:rsidRPr="00CA4F42" w:rsidTr="00E73945">
        <w:tc>
          <w:tcPr>
            <w:tcW w:w="9129" w:type="dxa"/>
            <w:shd w:val="clear" w:color="auto" w:fill="auto"/>
          </w:tcPr>
          <w:p w:rsidR="00E403AE" w:rsidRPr="00FE6928" w:rsidRDefault="00E403AE" w:rsidP="00E73945">
            <w:pPr>
              <w:pStyle w:val="IQB-AnweisungenText"/>
              <w:spacing w:after="60"/>
              <w:rPr>
                <w:rFonts w:ascii="Arial" w:hAnsi="Arial"/>
                <w:i/>
                <w:sz w:val="22"/>
                <w:szCs w:val="22"/>
              </w:rPr>
            </w:pPr>
            <w:r w:rsidRPr="00FE6928">
              <w:rPr>
                <w:rFonts w:ascii="Arial" w:hAnsi="Arial"/>
                <w:i/>
                <w:sz w:val="22"/>
                <w:szCs w:val="22"/>
              </w:rPr>
              <w:t>Tabelle:</w:t>
            </w:r>
          </w:p>
          <w:tbl>
            <w:tblPr>
              <w:tblW w:w="0" w:type="auto"/>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701"/>
              <w:gridCol w:w="1814"/>
              <w:gridCol w:w="1814"/>
              <w:gridCol w:w="2211"/>
            </w:tblGrid>
            <w:tr w:rsidR="00E403AE" w:rsidRPr="00CA4F42" w:rsidTr="00E73945">
              <w:trPr>
                <w:trHeight w:val="283"/>
              </w:trPr>
              <w:tc>
                <w:tcPr>
                  <w:tcW w:w="1701" w:type="dxa"/>
                  <w:tcBorders>
                    <w:top w:val="single" w:sz="4" w:space="0" w:color="00000A"/>
                    <w:left w:val="single" w:sz="4" w:space="0" w:color="00000A"/>
                    <w:bottom w:val="single" w:sz="4" w:space="0" w:color="00000A"/>
                    <w:right w:val="single" w:sz="4" w:space="0" w:color="00000A"/>
                  </w:tcBorders>
                  <w:shd w:val="clear" w:color="auto" w:fill="D9D9D9"/>
                  <w:tcMar>
                    <w:left w:w="108" w:type="dxa"/>
                  </w:tcMar>
                  <w:vAlign w:val="center"/>
                </w:tcPr>
                <w:p w:rsidR="00E403AE" w:rsidRPr="00FE6928" w:rsidRDefault="00E403AE" w:rsidP="00E73945">
                  <w:pPr>
                    <w:pStyle w:val="IQB-AnweisungenText"/>
                    <w:jc w:val="center"/>
                    <w:rPr>
                      <w:rFonts w:ascii="Arial" w:hAnsi="Arial"/>
                      <w:b/>
                      <w:sz w:val="22"/>
                      <w:szCs w:val="22"/>
                    </w:rPr>
                  </w:pPr>
                  <w:r w:rsidRPr="00FE6928">
                    <w:rPr>
                      <w:rFonts w:ascii="Arial" w:hAnsi="Arial"/>
                      <w:b/>
                      <w:sz w:val="22"/>
                      <w:szCs w:val="22"/>
                    </w:rPr>
                    <w:t>Siege</w:t>
                  </w:r>
                </w:p>
              </w:tc>
              <w:tc>
                <w:tcPr>
                  <w:tcW w:w="1814" w:type="dxa"/>
                  <w:tcBorders>
                    <w:top w:val="single" w:sz="4" w:space="0" w:color="00000A"/>
                    <w:left w:val="single" w:sz="4" w:space="0" w:color="00000A"/>
                    <w:bottom w:val="single" w:sz="4" w:space="0" w:color="00000A"/>
                    <w:right w:val="single" w:sz="4" w:space="0" w:color="00000A"/>
                  </w:tcBorders>
                  <w:shd w:val="clear" w:color="auto" w:fill="D9D9D9"/>
                  <w:tcMar>
                    <w:left w:w="108" w:type="dxa"/>
                  </w:tcMar>
                  <w:vAlign w:val="center"/>
                </w:tcPr>
                <w:p w:rsidR="00E403AE" w:rsidRPr="00FE6928" w:rsidRDefault="00E403AE" w:rsidP="00E73945">
                  <w:pPr>
                    <w:pStyle w:val="IQB-AnweisungenText"/>
                    <w:jc w:val="center"/>
                    <w:rPr>
                      <w:rFonts w:ascii="Arial" w:hAnsi="Arial"/>
                      <w:b/>
                      <w:sz w:val="22"/>
                      <w:szCs w:val="22"/>
                    </w:rPr>
                  </w:pPr>
                  <w:r w:rsidRPr="00FE6928">
                    <w:rPr>
                      <w:rFonts w:ascii="Arial" w:hAnsi="Arial"/>
                      <w:b/>
                      <w:sz w:val="22"/>
                      <w:szCs w:val="22"/>
                    </w:rPr>
                    <w:t>Unentschieden</w:t>
                  </w:r>
                </w:p>
              </w:tc>
              <w:tc>
                <w:tcPr>
                  <w:tcW w:w="1814" w:type="dxa"/>
                  <w:tcBorders>
                    <w:top w:val="single" w:sz="4" w:space="0" w:color="00000A"/>
                    <w:left w:val="single" w:sz="4" w:space="0" w:color="00000A"/>
                    <w:bottom w:val="single" w:sz="4" w:space="0" w:color="00000A"/>
                    <w:right w:val="single" w:sz="4" w:space="0" w:color="00000A"/>
                  </w:tcBorders>
                  <w:shd w:val="clear" w:color="auto" w:fill="D9D9D9"/>
                  <w:tcMar>
                    <w:left w:w="108" w:type="dxa"/>
                  </w:tcMar>
                  <w:vAlign w:val="center"/>
                </w:tcPr>
                <w:p w:rsidR="00E403AE" w:rsidRPr="00FE6928" w:rsidRDefault="00E403AE" w:rsidP="00E73945">
                  <w:pPr>
                    <w:pStyle w:val="IQB-AnweisungenText"/>
                    <w:jc w:val="center"/>
                    <w:rPr>
                      <w:rFonts w:ascii="Arial" w:hAnsi="Arial"/>
                      <w:b/>
                      <w:sz w:val="22"/>
                      <w:szCs w:val="22"/>
                    </w:rPr>
                  </w:pPr>
                  <w:r w:rsidRPr="00FE6928">
                    <w:rPr>
                      <w:rFonts w:ascii="Arial" w:hAnsi="Arial"/>
                      <w:b/>
                      <w:sz w:val="22"/>
                      <w:szCs w:val="22"/>
                    </w:rPr>
                    <w:t>Niederlagen</w:t>
                  </w:r>
                </w:p>
              </w:tc>
              <w:tc>
                <w:tcPr>
                  <w:tcW w:w="2211" w:type="dxa"/>
                  <w:tcBorders>
                    <w:top w:val="single" w:sz="4" w:space="0" w:color="00000A"/>
                    <w:left w:val="single" w:sz="4" w:space="0" w:color="00000A"/>
                    <w:bottom w:val="single" w:sz="4" w:space="0" w:color="00000A"/>
                    <w:right w:val="single" w:sz="4" w:space="0" w:color="00000A"/>
                  </w:tcBorders>
                  <w:shd w:val="clear" w:color="auto" w:fill="D9D9D9"/>
                  <w:tcMar>
                    <w:left w:w="108" w:type="dxa"/>
                  </w:tcMar>
                  <w:vAlign w:val="center"/>
                </w:tcPr>
                <w:p w:rsidR="00E403AE" w:rsidRPr="00FE6928" w:rsidRDefault="00E403AE" w:rsidP="00E73945">
                  <w:pPr>
                    <w:pStyle w:val="IQB-AnweisungenText"/>
                    <w:jc w:val="center"/>
                    <w:rPr>
                      <w:rFonts w:ascii="Arial" w:hAnsi="Arial"/>
                      <w:b/>
                      <w:sz w:val="22"/>
                      <w:szCs w:val="22"/>
                    </w:rPr>
                  </w:pPr>
                  <w:r w:rsidRPr="00FE6928">
                    <w:rPr>
                      <w:rFonts w:ascii="Arial" w:hAnsi="Arial"/>
                      <w:b/>
                      <w:sz w:val="22"/>
                      <w:szCs w:val="22"/>
                    </w:rPr>
                    <w:t>Gesamtpunktzahl</w:t>
                  </w:r>
                </w:p>
              </w:tc>
            </w:tr>
            <w:tr w:rsidR="00E403AE" w:rsidRPr="00CA4F42" w:rsidTr="00E73945">
              <w:trPr>
                <w:trHeight w:val="227"/>
              </w:trPr>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9</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0</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5</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27</w:t>
                  </w:r>
                </w:p>
              </w:tc>
            </w:tr>
            <w:tr w:rsidR="00E403AE" w:rsidRPr="00CA4F42" w:rsidTr="00E73945">
              <w:trPr>
                <w:trHeight w:val="227"/>
              </w:trPr>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8</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4</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26</w:t>
                  </w:r>
                </w:p>
              </w:tc>
            </w:tr>
            <w:tr w:rsidR="00E403AE" w:rsidRPr="00CA4F42" w:rsidTr="00E73945">
              <w:trPr>
                <w:trHeight w:val="227"/>
              </w:trPr>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7</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5</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26</w:t>
                  </w:r>
                </w:p>
              </w:tc>
            </w:tr>
            <w:tr w:rsidR="00E403AE" w:rsidRPr="00CA4F42" w:rsidTr="00E73945">
              <w:trPr>
                <w:trHeight w:val="227"/>
              </w:trPr>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6</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8</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0</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26</w:t>
                  </w:r>
                </w:p>
              </w:tc>
            </w:tr>
            <w:tr w:rsidR="00E403AE" w:rsidRPr="00CA4F42" w:rsidTr="00E73945">
              <w:trPr>
                <w:trHeight w:val="227"/>
              </w:trPr>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5</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9</w:t>
                  </w:r>
                </w:p>
              </w:tc>
              <w:tc>
                <w:tcPr>
                  <w:tcW w:w="181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0</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E403AE" w:rsidRPr="00FE6928" w:rsidRDefault="00E403AE" w:rsidP="00E73945">
                  <w:pPr>
                    <w:pStyle w:val="IQB-AnweisungenText"/>
                    <w:jc w:val="center"/>
                    <w:rPr>
                      <w:rFonts w:ascii="Arial" w:hAnsi="Arial"/>
                      <w:sz w:val="22"/>
                      <w:szCs w:val="22"/>
                    </w:rPr>
                  </w:pPr>
                  <w:r w:rsidRPr="00FE6928">
                    <w:rPr>
                      <w:rFonts w:ascii="Arial" w:hAnsi="Arial"/>
                      <w:sz w:val="22"/>
                      <w:szCs w:val="22"/>
                    </w:rPr>
                    <w:t>24</w:t>
                  </w:r>
                </w:p>
              </w:tc>
            </w:tr>
          </w:tbl>
          <w:p w:rsidR="00E403AE" w:rsidRPr="00FE6928" w:rsidRDefault="00E403AE" w:rsidP="00E73945">
            <w:pPr>
              <w:pStyle w:val="IQB-AnweisungenText"/>
              <w:spacing w:after="60" w:line="240" w:lineRule="auto"/>
              <w:rPr>
                <w:rFonts w:ascii="Arial" w:hAnsi="Arial"/>
                <w:i/>
                <w:sz w:val="22"/>
                <w:szCs w:val="22"/>
              </w:rPr>
            </w:pPr>
            <w:r w:rsidRPr="00FE6928">
              <w:rPr>
                <w:rFonts w:ascii="Arial" w:hAnsi="Arial"/>
                <w:i/>
                <w:sz w:val="22"/>
                <w:szCs w:val="22"/>
              </w:rPr>
              <w:t>Gleichung(en):</w:t>
            </w:r>
          </w:p>
          <w:p w:rsidR="00E403AE" w:rsidRPr="00FE6928" w:rsidRDefault="00E403AE" w:rsidP="00E73945">
            <w:pPr>
              <w:pStyle w:val="IQB-AnweisungenText"/>
              <w:spacing w:before="0" w:after="60" w:line="240" w:lineRule="auto"/>
              <w:rPr>
                <w:rFonts w:ascii="Arial" w:hAnsi="Arial"/>
                <w:i/>
                <w:sz w:val="22"/>
                <w:szCs w:val="22"/>
              </w:rPr>
            </w:pPr>
            <w:r w:rsidRPr="00FE6928">
              <w:rPr>
                <w:rFonts w:ascii="Arial" w:hAnsi="Arial"/>
                <w:i/>
                <w:sz w:val="22"/>
                <w:szCs w:val="22"/>
              </w:rPr>
              <w:t>s</w:t>
            </w:r>
            <w:r w:rsidRPr="00FE6928">
              <w:rPr>
                <w:rFonts w:ascii="Arial" w:hAnsi="Arial"/>
                <w:sz w:val="22"/>
                <w:szCs w:val="22"/>
              </w:rPr>
              <w:t xml:space="preserve">:= Siege; </w:t>
            </w:r>
            <w:r w:rsidRPr="00FE6928">
              <w:rPr>
                <w:rFonts w:ascii="Arial" w:hAnsi="Arial"/>
                <w:i/>
                <w:sz w:val="22"/>
                <w:szCs w:val="22"/>
              </w:rPr>
              <w:t>u</w:t>
            </w:r>
            <w:r w:rsidRPr="00FE6928">
              <w:rPr>
                <w:rFonts w:ascii="Arial" w:hAnsi="Arial"/>
                <w:sz w:val="22"/>
                <w:szCs w:val="22"/>
              </w:rPr>
              <w:t xml:space="preserve">:= Unentschieden; </w:t>
            </w:r>
            <w:r w:rsidRPr="00FE6928">
              <w:rPr>
                <w:rFonts w:ascii="Arial" w:hAnsi="Arial"/>
                <w:i/>
                <w:sz w:val="22"/>
                <w:szCs w:val="22"/>
              </w:rPr>
              <w:t>n</w:t>
            </w:r>
            <w:r w:rsidRPr="00FE6928">
              <w:rPr>
                <w:rFonts w:ascii="Arial" w:hAnsi="Arial"/>
                <w:sz w:val="22"/>
                <w:szCs w:val="22"/>
              </w:rPr>
              <w:t>:= Niederlagen</w:t>
            </w:r>
          </w:p>
          <w:p w:rsidR="00E403AE" w:rsidRPr="00FE6928" w:rsidRDefault="00E403AE" w:rsidP="00E73945">
            <w:pPr>
              <w:pStyle w:val="IQB-AnweisungenText"/>
              <w:spacing w:before="0" w:after="60" w:line="240" w:lineRule="auto"/>
              <w:rPr>
                <w:rFonts w:ascii="Arial" w:hAnsi="Arial"/>
                <w:sz w:val="22"/>
                <w:szCs w:val="22"/>
              </w:rPr>
            </w:pPr>
            <w:r w:rsidRPr="00FE6928">
              <w:rPr>
                <w:rFonts w:ascii="Arial" w:hAnsi="Arial"/>
                <w:i/>
                <w:sz w:val="22"/>
                <w:szCs w:val="22"/>
              </w:rPr>
              <w:t>s</w:t>
            </w:r>
            <w:r w:rsidRPr="00FE6928">
              <w:rPr>
                <w:rFonts w:ascii="Arial" w:hAnsi="Arial"/>
                <w:sz w:val="22"/>
                <w:szCs w:val="22"/>
              </w:rPr>
              <w:t xml:space="preserve"> + </w:t>
            </w:r>
            <w:r w:rsidRPr="00FE6928">
              <w:rPr>
                <w:rFonts w:ascii="Arial" w:hAnsi="Arial"/>
                <w:i/>
                <w:sz w:val="22"/>
                <w:szCs w:val="22"/>
              </w:rPr>
              <w:t>u</w:t>
            </w:r>
            <w:r w:rsidRPr="00FE6928">
              <w:rPr>
                <w:rFonts w:ascii="Arial" w:hAnsi="Arial"/>
                <w:sz w:val="22"/>
                <w:szCs w:val="22"/>
              </w:rPr>
              <w:t xml:space="preserve"> + </w:t>
            </w:r>
            <w:r w:rsidRPr="00FE6928">
              <w:rPr>
                <w:rFonts w:ascii="Arial" w:hAnsi="Arial"/>
                <w:i/>
                <w:sz w:val="22"/>
                <w:szCs w:val="22"/>
              </w:rPr>
              <w:t>n</w:t>
            </w:r>
            <w:r w:rsidRPr="00FE6928">
              <w:rPr>
                <w:rFonts w:ascii="Arial" w:hAnsi="Arial"/>
                <w:sz w:val="22"/>
                <w:szCs w:val="22"/>
              </w:rPr>
              <w:t xml:space="preserve"> = 14</w:t>
            </w:r>
          </w:p>
          <w:p w:rsidR="00E403AE" w:rsidRPr="00FE6928" w:rsidRDefault="00E403AE" w:rsidP="00E73945">
            <w:pPr>
              <w:pStyle w:val="IQB-AnweisungenText"/>
              <w:spacing w:before="0" w:after="60" w:line="240" w:lineRule="auto"/>
              <w:rPr>
                <w:rFonts w:ascii="Arial" w:hAnsi="Arial"/>
                <w:sz w:val="22"/>
                <w:szCs w:val="22"/>
              </w:rPr>
            </w:pPr>
            <w:r w:rsidRPr="00FE6928">
              <w:rPr>
                <w:rFonts w:ascii="Arial" w:hAnsi="Arial"/>
                <w:sz w:val="22"/>
                <w:szCs w:val="22"/>
              </w:rPr>
              <w:t>3</w:t>
            </w:r>
            <w:r w:rsidRPr="00FE6928">
              <w:rPr>
                <w:rFonts w:ascii="Arial" w:hAnsi="Arial"/>
                <w:i/>
                <w:sz w:val="22"/>
                <w:szCs w:val="22"/>
              </w:rPr>
              <w:t>s</w:t>
            </w:r>
            <w:r w:rsidRPr="00FE6928">
              <w:rPr>
                <w:rFonts w:ascii="Arial" w:hAnsi="Arial"/>
                <w:sz w:val="22"/>
                <w:szCs w:val="22"/>
              </w:rPr>
              <w:t xml:space="preserve"> + </w:t>
            </w:r>
            <w:r w:rsidRPr="00FE6928">
              <w:rPr>
                <w:rFonts w:ascii="Arial" w:hAnsi="Arial"/>
                <w:i/>
                <w:sz w:val="22"/>
                <w:szCs w:val="22"/>
              </w:rPr>
              <w:t>u</w:t>
            </w:r>
            <w:r w:rsidRPr="00FE6928">
              <w:rPr>
                <w:rFonts w:ascii="Arial" w:hAnsi="Arial"/>
                <w:sz w:val="22"/>
                <w:szCs w:val="22"/>
              </w:rPr>
              <w:t xml:space="preserve"> = 26</w:t>
            </w:r>
          </w:p>
        </w:tc>
      </w:tr>
    </w:tbl>
    <w:p w:rsidR="00694A63" w:rsidRPr="005B2F65" w:rsidRDefault="00694A63" w:rsidP="00E403AE">
      <w:pPr>
        <w:pStyle w:val="IQB-AnweisungenText"/>
        <w:spacing w:before="0"/>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embedRegular r:id="rId1" w:subsetted="1" w:fontKey="{496DC924-404E-45EE-A0EE-BA2F477580A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7C9FCB92-BBD7-4EC9-8871-27005A99B985}"/>
    <w:embedBold r:id="rId3" w:fontKey="{52BF05D4-0026-48CE-A2C8-A0D1D7690FA7}"/>
    <w:embedItalic r:id="rId4" w:fontKey="{9005B662-E77D-409F-A805-D904AA08F059}"/>
    <w:embedBoldItalic r:id="rId5" w:fontKey="{75D0F174-D93F-4F15-A9A8-708DB613C74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E403AE" w:rsidRPr="00BD017B" w:rsidRDefault="00E403AE" w:rsidP="00E403AE">
      <w:pPr>
        <w:pStyle w:val="Funote"/>
        <w:rPr>
          <w:sz w:val="20"/>
          <w:szCs w:val="20"/>
        </w:rPr>
      </w:pPr>
      <w:r w:rsidRPr="00BD017B">
        <w:rPr>
          <w:rStyle w:val="Funotenzeichen"/>
          <w:sz w:val="20"/>
          <w:szCs w:val="20"/>
        </w:rPr>
        <w:footnoteRef/>
      </w:r>
      <w:r w:rsidRPr="00BD017B">
        <w:rPr>
          <w:rStyle w:val="Funotenzeichen"/>
          <w:sz w:val="20"/>
          <w:szCs w:val="20"/>
        </w:rPr>
        <w:t xml:space="preserve"> </w:t>
      </w:r>
      <w:r w:rsidRPr="00BD017B">
        <w:rPr>
          <w:sz w:val="20"/>
          <w:szCs w:val="20"/>
        </w:rPr>
        <w:t xml:space="preserve">Bruder, R. und </w:t>
      </w:r>
      <w:proofErr w:type="spellStart"/>
      <w:r w:rsidRPr="00BD017B">
        <w:rPr>
          <w:sz w:val="20"/>
          <w:szCs w:val="20"/>
        </w:rPr>
        <w:t>Collet</w:t>
      </w:r>
      <w:proofErr w:type="spellEnd"/>
      <w:r w:rsidRPr="00BD017B">
        <w:rPr>
          <w:sz w:val="20"/>
          <w:szCs w:val="20"/>
        </w:rPr>
        <w:t>, C. (2011): Problemlösekompetenzen fördern. Berlin: Cornelsen Scriptor.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403AE"/>
    <w:rsid w:val="00EA71E2"/>
    <w:rsid w:val="00EC34A6"/>
    <w:rsid w:val="00ED2D11"/>
    <w:rsid w:val="00F0154F"/>
    <w:rsid w:val="00F63DBE"/>
    <w:rsid w:val="00F64050"/>
    <w:rsid w:val="00F764C0"/>
    <w:rsid w:val="00F865AA"/>
    <w:rsid w:val="00FA77D2"/>
    <w:rsid w:val="00FC1BEE"/>
    <w:rsid w:val="00FD1B22"/>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11FE801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7C05A0-DBBC-4604-B841-3ADDE7BF8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687</Words>
  <Characters>4432</Characters>
  <Application>Microsoft Office Word</Application>
  <DocSecurity>0</DocSecurity>
  <Lines>86</Lines>
  <Paragraphs>38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2025-07-21T07:31:00Z</dcterms:created>
  <dcterms:modified xsi:type="dcterms:W3CDTF">2025-07-21T07:56:00Z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